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E0E6" w14:textId="2884DE9D" w:rsidR="001879A8" w:rsidRDefault="00DB4707" w:rsidP="00B51A87">
      <w:r>
        <w:rPr>
          <w:noProof/>
        </w:rPr>
        <w:drawing>
          <wp:anchor distT="0" distB="0" distL="114300" distR="114300" simplePos="0" relativeHeight="251659264" behindDoc="0" locked="0" layoutInCell="1" allowOverlap="1" wp14:anchorId="5F85D268" wp14:editId="06663425">
            <wp:simplePos x="0" y="0"/>
            <wp:positionH relativeFrom="column">
              <wp:posOffset>-54429</wp:posOffset>
            </wp:positionH>
            <wp:positionV relativeFrom="paragraph">
              <wp:posOffset>-380999</wp:posOffset>
            </wp:positionV>
            <wp:extent cx="2572312" cy="990600"/>
            <wp:effectExtent l="0" t="0" r="0" b="0"/>
            <wp:wrapNone/>
            <wp:docPr id="18" name="Picture 18" descr="C:\Users\marcellacussen\AppData\Local\Microsoft\Windows\INetCache\Content.Word\iCare-Housing-RGB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ellacussen\AppData\Local\Microsoft\Windows\INetCache\Content.Word\iCare-Housing-RGB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02" cy="9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195B9" w14:textId="77777777" w:rsidR="008B58F7" w:rsidRDefault="008B58F7" w:rsidP="003841EA">
      <w:pPr>
        <w:spacing w:before="218"/>
        <w:jc w:val="both"/>
        <w:rPr>
          <w:rFonts w:cs="Calibri"/>
          <w:b/>
          <w:sz w:val="28"/>
          <w:szCs w:val="28"/>
        </w:rPr>
      </w:pPr>
    </w:p>
    <w:p w14:paraId="05095A1C" w14:textId="0B0911EE" w:rsidR="00DD6665" w:rsidRPr="00895ABF" w:rsidRDefault="00DD6665" w:rsidP="00DD6665">
      <w:pPr>
        <w:spacing w:before="218"/>
        <w:ind w:left="100"/>
        <w:jc w:val="both"/>
        <w:rPr>
          <w:rFonts w:cs="Calibri"/>
          <w:sz w:val="26"/>
          <w:szCs w:val="26"/>
        </w:rPr>
      </w:pPr>
      <w:r w:rsidRPr="00895ABF">
        <w:rPr>
          <w:rFonts w:cs="Calibri"/>
          <w:b/>
          <w:sz w:val="26"/>
          <w:szCs w:val="26"/>
        </w:rPr>
        <w:t xml:space="preserve">Job Title: </w:t>
      </w:r>
      <w:r w:rsidRPr="00895ABF">
        <w:rPr>
          <w:rFonts w:cs="Calibri"/>
          <w:sz w:val="26"/>
          <w:szCs w:val="26"/>
        </w:rPr>
        <w:t>Tenant Engagement Manager</w:t>
      </w:r>
    </w:p>
    <w:p w14:paraId="75863C29" w14:textId="7DAF9DF6" w:rsidR="00DD6665" w:rsidRPr="00895ABF" w:rsidRDefault="00DD6665" w:rsidP="00DD6665">
      <w:pPr>
        <w:ind w:left="100"/>
        <w:jc w:val="both"/>
        <w:rPr>
          <w:rFonts w:cs="Calibri"/>
          <w:i/>
          <w:sz w:val="26"/>
          <w:szCs w:val="26"/>
        </w:rPr>
      </w:pPr>
      <w:r w:rsidRPr="00895ABF">
        <w:rPr>
          <w:rFonts w:cs="Calibri"/>
          <w:b/>
          <w:sz w:val="26"/>
          <w:szCs w:val="26"/>
        </w:rPr>
        <w:t xml:space="preserve">Location: </w:t>
      </w:r>
      <w:r w:rsidRPr="00895ABF">
        <w:rPr>
          <w:rFonts w:cs="Calibri"/>
          <w:sz w:val="26"/>
          <w:szCs w:val="26"/>
        </w:rPr>
        <w:t xml:space="preserve">Dublin City Centre </w:t>
      </w:r>
      <w:r w:rsidRPr="00895ABF">
        <w:rPr>
          <w:rFonts w:cs="Calibri"/>
          <w:i/>
          <w:sz w:val="26"/>
          <w:szCs w:val="26"/>
        </w:rPr>
        <w:t>(Capel Building, Capel Street, Dublin 7) with travel involved.</w:t>
      </w:r>
    </w:p>
    <w:p w14:paraId="6D569C46" w14:textId="6B60DA9D" w:rsidR="00DD6665" w:rsidRPr="00895ABF" w:rsidRDefault="00DD6665" w:rsidP="00DD6665">
      <w:pPr>
        <w:ind w:left="100"/>
        <w:jc w:val="both"/>
        <w:rPr>
          <w:rFonts w:cs="Calibri"/>
          <w:sz w:val="26"/>
          <w:szCs w:val="26"/>
        </w:rPr>
      </w:pPr>
      <w:r w:rsidRPr="00895ABF">
        <w:rPr>
          <w:rFonts w:cs="Calibri"/>
          <w:b/>
          <w:sz w:val="26"/>
          <w:szCs w:val="26"/>
        </w:rPr>
        <w:t xml:space="preserve">Reporting To: </w:t>
      </w:r>
      <w:r w:rsidRPr="00895ABF">
        <w:rPr>
          <w:rFonts w:cs="Calibri"/>
          <w:sz w:val="26"/>
          <w:szCs w:val="26"/>
        </w:rPr>
        <w:t>Head of Tenant Services</w:t>
      </w:r>
    </w:p>
    <w:p w14:paraId="1CB8A591" w14:textId="1DC00E71" w:rsidR="00DD6665" w:rsidRPr="00895ABF" w:rsidRDefault="00DD6665" w:rsidP="00DD6665">
      <w:pPr>
        <w:ind w:left="100"/>
        <w:jc w:val="both"/>
        <w:rPr>
          <w:rFonts w:cs="Calibri"/>
          <w:sz w:val="26"/>
          <w:szCs w:val="26"/>
        </w:rPr>
      </w:pPr>
      <w:r w:rsidRPr="00895ABF">
        <w:rPr>
          <w:rFonts w:cs="Calibri"/>
          <w:b/>
          <w:sz w:val="26"/>
          <w:szCs w:val="26"/>
        </w:rPr>
        <w:t>Salary</w:t>
      </w:r>
      <w:r w:rsidR="00B22CB3" w:rsidRPr="00895ABF">
        <w:rPr>
          <w:rFonts w:cs="Calibri"/>
          <w:b/>
          <w:sz w:val="26"/>
          <w:szCs w:val="26"/>
        </w:rPr>
        <w:t xml:space="preserve"> Range</w:t>
      </w:r>
      <w:r w:rsidRPr="00895ABF">
        <w:rPr>
          <w:rFonts w:cs="Calibri"/>
          <w:b/>
          <w:sz w:val="26"/>
          <w:szCs w:val="26"/>
        </w:rPr>
        <w:t xml:space="preserve">: </w:t>
      </w:r>
      <w:r w:rsidRPr="00895ABF">
        <w:rPr>
          <w:rFonts w:cs="Calibri"/>
          <w:sz w:val="26"/>
          <w:szCs w:val="26"/>
        </w:rPr>
        <w:t>€</w:t>
      </w:r>
      <w:r w:rsidR="006E2C0E" w:rsidRPr="00895ABF">
        <w:rPr>
          <w:rFonts w:cs="Calibri"/>
          <w:sz w:val="26"/>
          <w:szCs w:val="26"/>
        </w:rPr>
        <w:t>5</w:t>
      </w:r>
      <w:r w:rsidR="00F5231C">
        <w:rPr>
          <w:rFonts w:cs="Calibri"/>
          <w:sz w:val="26"/>
          <w:szCs w:val="26"/>
        </w:rPr>
        <w:t>4</w:t>
      </w:r>
      <w:r w:rsidR="006E2C0E" w:rsidRPr="00895ABF">
        <w:rPr>
          <w:rFonts w:cs="Calibri"/>
          <w:sz w:val="26"/>
          <w:szCs w:val="26"/>
        </w:rPr>
        <w:t>,000</w:t>
      </w:r>
      <w:r w:rsidR="00B22CB3" w:rsidRPr="00895ABF">
        <w:rPr>
          <w:rFonts w:cs="Calibri"/>
          <w:sz w:val="26"/>
          <w:szCs w:val="26"/>
        </w:rPr>
        <w:t xml:space="preserve"> to </w:t>
      </w:r>
      <w:r w:rsidR="009C7E05" w:rsidRPr="00895ABF">
        <w:rPr>
          <w:rFonts w:cs="Calibri"/>
          <w:sz w:val="26"/>
          <w:szCs w:val="26"/>
        </w:rPr>
        <w:t>€</w:t>
      </w:r>
      <w:r w:rsidRPr="00895ABF">
        <w:rPr>
          <w:rFonts w:cs="Calibri"/>
          <w:sz w:val="26"/>
          <w:szCs w:val="26"/>
        </w:rPr>
        <w:t>60,000</w:t>
      </w:r>
      <w:r w:rsidR="00AB1915" w:rsidRPr="00895ABF">
        <w:rPr>
          <w:rFonts w:cs="Calibri"/>
          <w:sz w:val="26"/>
          <w:szCs w:val="26"/>
        </w:rPr>
        <w:t xml:space="preserve"> per annum</w:t>
      </w:r>
    </w:p>
    <w:p w14:paraId="42C2A572" w14:textId="705DDE6D" w:rsidR="001D02A1" w:rsidRPr="00895ABF" w:rsidRDefault="001D02A1" w:rsidP="00DD6665">
      <w:pPr>
        <w:ind w:left="100"/>
        <w:jc w:val="both"/>
        <w:rPr>
          <w:rFonts w:cs="Calibri"/>
          <w:sz w:val="26"/>
          <w:szCs w:val="26"/>
        </w:rPr>
      </w:pPr>
      <w:r w:rsidRPr="00895ABF">
        <w:rPr>
          <w:rFonts w:cs="Calibri"/>
          <w:b/>
          <w:sz w:val="26"/>
          <w:szCs w:val="26"/>
        </w:rPr>
        <w:t>Core Hours:</w:t>
      </w:r>
      <w:r w:rsidRPr="00895ABF">
        <w:rPr>
          <w:rFonts w:cs="Calibri"/>
          <w:sz w:val="26"/>
          <w:szCs w:val="26"/>
        </w:rPr>
        <w:t xml:space="preserve"> Monday – Friday 9am-5pm</w:t>
      </w:r>
    </w:p>
    <w:p w14:paraId="72B45B7A" w14:textId="01D8F660" w:rsidR="00DD6665" w:rsidRPr="00FC3D27" w:rsidRDefault="00DD6665" w:rsidP="00DD6665">
      <w:pPr>
        <w:pStyle w:val="Heading2"/>
        <w:rPr>
          <w:rStyle w:val="Heading3Char"/>
        </w:rPr>
      </w:pPr>
      <w:r w:rsidRPr="00176F42">
        <w:rPr>
          <w:rFonts w:asciiTheme="minorHAnsi" w:hAnsiTheme="minorHAnsi" w:cs="Calibri"/>
        </w:rPr>
        <w:t>A</w:t>
      </w:r>
      <w:r w:rsidRPr="00FC3D27">
        <w:rPr>
          <w:rStyle w:val="Heading3Char"/>
        </w:rPr>
        <w:t>bout iCare Housing</w:t>
      </w:r>
    </w:p>
    <w:p w14:paraId="3C0B9D76" w14:textId="773694FE" w:rsidR="00D337D6" w:rsidRPr="00176F42" w:rsidRDefault="00D706E3" w:rsidP="00D337D6">
      <w:pPr>
        <w:pStyle w:val="NormalWeb"/>
        <w:shd w:val="clear" w:color="auto" w:fill="FFFFFF"/>
        <w:spacing w:before="0" w:beforeAutospacing="0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>i</w:t>
      </w:r>
      <w:r w:rsidR="00D337D6" w:rsidRPr="00176F42">
        <w:rPr>
          <w:rFonts w:asciiTheme="minorHAnsi" w:hAnsiTheme="minorHAnsi" w:cs="Calibri"/>
          <w:color w:val="000000" w:themeColor="text1"/>
        </w:rPr>
        <w:t>Care Housing was originally established to play a role in providing sustainable housing outcomes for people in long term mortgage arrears. Since then, we have helped over 1,</w:t>
      </w:r>
      <w:r w:rsidR="00B84E03">
        <w:rPr>
          <w:rFonts w:asciiTheme="minorHAnsi" w:hAnsiTheme="minorHAnsi" w:cs="Calibri"/>
          <w:color w:val="000000" w:themeColor="text1"/>
        </w:rPr>
        <w:t>9</w:t>
      </w:r>
      <w:r w:rsidR="00D337D6" w:rsidRPr="00176F42">
        <w:rPr>
          <w:rFonts w:asciiTheme="minorHAnsi" w:hAnsiTheme="minorHAnsi" w:cs="Calibri"/>
          <w:color w:val="000000" w:themeColor="text1"/>
        </w:rPr>
        <w:t>00 people to secure a safe, sustainable housing outcome. We have supported people in communities right across Ireland with homes in every local authority area.</w:t>
      </w:r>
    </w:p>
    <w:p w14:paraId="24A49DD9" w14:textId="1AD55727" w:rsidR="00D337D6" w:rsidRPr="00176F42" w:rsidRDefault="00D337D6" w:rsidP="00D337D6">
      <w:pPr>
        <w:pStyle w:val="NormalWeb"/>
        <w:shd w:val="clear" w:color="auto" w:fill="FFFFFF"/>
        <w:spacing w:before="0" w:beforeAutospacing="0"/>
        <w:rPr>
          <w:rFonts w:asciiTheme="minorHAnsi" w:hAnsiTheme="minorHAnsi" w:cs="Calibri"/>
          <w:color w:val="000000" w:themeColor="text1"/>
        </w:rPr>
      </w:pPr>
      <w:r w:rsidRPr="00176F42">
        <w:rPr>
          <w:rFonts w:asciiTheme="minorHAnsi" w:hAnsiTheme="minorHAnsi" w:cs="Calibri"/>
          <w:color w:val="000000" w:themeColor="text1"/>
        </w:rPr>
        <w:t>Today, iCare continues to lead the way in Mortgage to Rent solutions and is the largest provider of these build and turnkey arrangements.</w:t>
      </w:r>
    </w:p>
    <w:p w14:paraId="1E018F9F" w14:textId="24302E3C" w:rsidR="008B58F7" w:rsidRPr="00176F42" w:rsidRDefault="00D337D6" w:rsidP="007D530E">
      <w:pPr>
        <w:pStyle w:val="NormalWeb"/>
        <w:shd w:val="clear" w:color="auto" w:fill="FFFFFF"/>
        <w:spacing w:before="0" w:beforeAutospacing="0"/>
        <w:rPr>
          <w:rFonts w:asciiTheme="minorHAnsi" w:hAnsiTheme="minorHAnsi" w:cs="Calibri"/>
          <w:color w:val="000000" w:themeColor="text1"/>
        </w:rPr>
      </w:pPr>
      <w:r w:rsidRPr="00176F42">
        <w:rPr>
          <w:rFonts w:asciiTheme="minorHAnsi" w:hAnsiTheme="minorHAnsi" w:cs="Calibri"/>
          <w:color w:val="000000" w:themeColor="text1"/>
        </w:rPr>
        <w:t>Our ambition is to continue to deliver real and transformative impact, delivering sustainable solutions in sustainable homes for people across Ireland.</w:t>
      </w:r>
    </w:p>
    <w:p w14:paraId="21BBDF5A" w14:textId="77777777" w:rsidR="00DD6665" w:rsidRPr="00176F42" w:rsidRDefault="00DD6665" w:rsidP="00FC3D27">
      <w:pPr>
        <w:pStyle w:val="Heading3"/>
      </w:pPr>
      <w:r w:rsidRPr="00176F42">
        <w:t>About the role</w:t>
      </w:r>
    </w:p>
    <w:p w14:paraId="075E3F9D" w14:textId="0375FE6F" w:rsidR="00FE65A9" w:rsidRPr="00176F42" w:rsidRDefault="00DD6665" w:rsidP="00B84E03">
      <w:pPr>
        <w:pStyle w:val="BodyText"/>
        <w:ind w:left="0" w:right="114"/>
        <w:jc w:val="both"/>
        <w:rPr>
          <w:rFonts w:asciiTheme="minorHAnsi" w:hAnsiTheme="minorHAnsi" w:cs="Calibri"/>
          <w:sz w:val="24"/>
          <w:szCs w:val="24"/>
        </w:rPr>
      </w:pPr>
      <w:r w:rsidRPr="00176F42">
        <w:rPr>
          <w:rFonts w:asciiTheme="minorHAnsi" w:hAnsiTheme="minorHAnsi" w:cs="Calibri"/>
          <w:sz w:val="24"/>
          <w:szCs w:val="24"/>
        </w:rPr>
        <w:t>As a member of the iCare Housing Tenant Services team, you will play a key role in engaging with and supporting iCare’s tenants</w:t>
      </w:r>
      <w:r w:rsidR="00A0424C" w:rsidRPr="00176F42">
        <w:rPr>
          <w:rFonts w:asciiTheme="minorHAnsi" w:hAnsiTheme="minorHAnsi" w:cs="Calibri"/>
          <w:sz w:val="24"/>
          <w:szCs w:val="24"/>
        </w:rPr>
        <w:t xml:space="preserve"> and their tenancies</w:t>
      </w:r>
      <w:r w:rsidR="00904F50" w:rsidRPr="00176F42">
        <w:rPr>
          <w:rFonts w:asciiTheme="minorHAnsi" w:hAnsiTheme="minorHAnsi" w:cs="Calibri"/>
          <w:sz w:val="24"/>
          <w:szCs w:val="24"/>
        </w:rPr>
        <w:t xml:space="preserve">. You will be responsible for the </w:t>
      </w:r>
      <w:r w:rsidRPr="00176F42">
        <w:rPr>
          <w:rFonts w:asciiTheme="minorHAnsi" w:hAnsiTheme="minorHAnsi" w:cs="Calibri"/>
          <w:sz w:val="24"/>
          <w:szCs w:val="24"/>
        </w:rPr>
        <w:t xml:space="preserve">implementation of iCare’s Tenant Engagement Strategy. You </w:t>
      </w:r>
      <w:r w:rsidR="002D5817" w:rsidRPr="00176F42">
        <w:rPr>
          <w:rFonts w:asciiTheme="minorHAnsi" w:hAnsiTheme="minorHAnsi" w:cs="Calibri"/>
          <w:sz w:val="24"/>
          <w:szCs w:val="24"/>
        </w:rPr>
        <w:t xml:space="preserve"> </w:t>
      </w:r>
      <w:r w:rsidRPr="00176F42">
        <w:rPr>
          <w:rFonts w:asciiTheme="minorHAnsi" w:hAnsiTheme="minorHAnsi" w:cs="Calibri"/>
          <w:sz w:val="24"/>
          <w:szCs w:val="24"/>
        </w:rPr>
        <w:t xml:space="preserve">will </w:t>
      </w:r>
      <w:r w:rsidR="002D5817" w:rsidRPr="00176F42">
        <w:rPr>
          <w:rFonts w:asciiTheme="minorHAnsi" w:hAnsiTheme="minorHAnsi" w:cs="Calibri"/>
          <w:sz w:val="24"/>
          <w:szCs w:val="24"/>
        </w:rPr>
        <w:t xml:space="preserve"> </w:t>
      </w:r>
      <w:r w:rsidR="00CB1758" w:rsidRPr="00176F42">
        <w:rPr>
          <w:rFonts w:asciiTheme="minorHAnsi" w:hAnsiTheme="minorHAnsi" w:cs="Calibri"/>
          <w:sz w:val="24"/>
          <w:szCs w:val="24"/>
        </w:rPr>
        <w:t>collaborate</w:t>
      </w:r>
      <w:r w:rsidR="00524862" w:rsidRPr="00176F42">
        <w:rPr>
          <w:rFonts w:asciiTheme="minorHAnsi" w:hAnsiTheme="minorHAnsi" w:cs="Calibri"/>
          <w:sz w:val="24"/>
          <w:szCs w:val="24"/>
        </w:rPr>
        <w:t xml:space="preserve"> closely</w:t>
      </w:r>
      <w:r w:rsidRPr="00176F42">
        <w:rPr>
          <w:rFonts w:asciiTheme="minorHAnsi" w:hAnsiTheme="minorHAnsi" w:cs="Calibri"/>
          <w:sz w:val="24"/>
          <w:szCs w:val="24"/>
        </w:rPr>
        <w:t xml:space="preserve"> with</w:t>
      </w:r>
      <w:r w:rsidR="005F7875" w:rsidRPr="00176F42">
        <w:rPr>
          <w:rFonts w:asciiTheme="minorHAnsi" w:hAnsiTheme="minorHAnsi" w:cs="Calibri"/>
          <w:sz w:val="24"/>
          <w:szCs w:val="24"/>
        </w:rPr>
        <w:t xml:space="preserve"> colleagues within</w:t>
      </w:r>
      <w:r w:rsidR="00E53A8C" w:rsidRPr="00176F42">
        <w:rPr>
          <w:rFonts w:asciiTheme="minorHAnsi" w:hAnsiTheme="minorHAnsi" w:cs="Calibri"/>
          <w:sz w:val="24"/>
          <w:szCs w:val="24"/>
        </w:rPr>
        <w:t xml:space="preserve"> </w:t>
      </w:r>
      <w:r w:rsidRPr="00176F42">
        <w:rPr>
          <w:rFonts w:asciiTheme="minorHAnsi" w:hAnsiTheme="minorHAnsi" w:cs="Calibri"/>
          <w:sz w:val="24"/>
          <w:szCs w:val="24"/>
        </w:rPr>
        <w:t xml:space="preserve"> iCare </w:t>
      </w:r>
      <w:r w:rsidR="005F7875" w:rsidRPr="00176F42">
        <w:rPr>
          <w:rFonts w:asciiTheme="minorHAnsi" w:hAnsiTheme="minorHAnsi" w:cs="Calibri"/>
          <w:sz w:val="24"/>
          <w:szCs w:val="24"/>
        </w:rPr>
        <w:t>Housing,</w:t>
      </w:r>
      <w:r w:rsidR="00243049" w:rsidRPr="00176F42">
        <w:rPr>
          <w:rFonts w:asciiTheme="minorHAnsi" w:hAnsiTheme="minorHAnsi" w:cs="Calibri"/>
          <w:sz w:val="24"/>
          <w:szCs w:val="24"/>
        </w:rPr>
        <w:t xml:space="preserve"> this will</w:t>
      </w:r>
      <w:r w:rsidR="005F7875" w:rsidRPr="00176F42">
        <w:rPr>
          <w:rFonts w:asciiTheme="minorHAnsi" w:hAnsiTheme="minorHAnsi" w:cs="Calibri"/>
          <w:sz w:val="24"/>
          <w:szCs w:val="24"/>
        </w:rPr>
        <w:t xml:space="preserve"> includ</w:t>
      </w:r>
      <w:r w:rsidR="00243049" w:rsidRPr="00176F42">
        <w:rPr>
          <w:rFonts w:asciiTheme="minorHAnsi" w:hAnsiTheme="minorHAnsi" w:cs="Calibri"/>
          <w:sz w:val="24"/>
          <w:szCs w:val="24"/>
        </w:rPr>
        <w:t>e the asset</w:t>
      </w:r>
      <w:r w:rsidR="005F7875" w:rsidRPr="00176F42">
        <w:rPr>
          <w:rFonts w:asciiTheme="minorHAnsi" w:hAnsiTheme="minorHAnsi" w:cs="Calibri"/>
          <w:sz w:val="24"/>
          <w:szCs w:val="24"/>
        </w:rPr>
        <w:t xml:space="preserve"> management and new business</w:t>
      </w:r>
      <w:r w:rsidR="00243049" w:rsidRPr="00176F42">
        <w:rPr>
          <w:rFonts w:asciiTheme="minorHAnsi" w:hAnsiTheme="minorHAnsi" w:cs="Calibri"/>
          <w:sz w:val="24"/>
          <w:szCs w:val="24"/>
        </w:rPr>
        <w:t xml:space="preserve"> teams</w:t>
      </w:r>
      <w:r w:rsidR="005F7875" w:rsidRPr="00176F42">
        <w:rPr>
          <w:rFonts w:asciiTheme="minorHAnsi" w:hAnsiTheme="minorHAnsi" w:cs="Calibri"/>
          <w:sz w:val="24"/>
          <w:szCs w:val="24"/>
        </w:rPr>
        <w:t xml:space="preserve">. </w:t>
      </w:r>
    </w:p>
    <w:p w14:paraId="4ACB9298" w14:textId="77777777" w:rsidR="0051671C" w:rsidRPr="00176F42" w:rsidRDefault="0051671C" w:rsidP="00B84E03">
      <w:pPr>
        <w:pStyle w:val="BodyText"/>
        <w:ind w:left="0" w:right="114"/>
        <w:jc w:val="both"/>
        <w:rPr>
          <w:rFonts w:asciiTheme="minorHAnsi" w:hAnsiTheme="minorHAnsi" w:cs="Calibri"/>
          <w:sz w:val="8"/>
          <w:szCs w:val="8"/>
        </w:rPr>
      </w:pPr>
    </w:p>
    <w:p w14:paraId="109A1A0F" w14:textId="3EFA5D55" w:rsidR="00B51A87" w:rsidRPr="00176F42" w:rsidRDefault="00DD6665" w:rsidP="00B84E03">
      <w:pPr>
        <w:pStyle w:val="BodyText"/>
        <w:spacing w:before="60"/>
        <w:ind w:left="0" w:right="117"/>
        <w:jc w:val="both"/>
        <w:rPr>
          <w:rFonts w:asciiTheme="minorHAnsi" w:hAnsiTheme="minorHAnsi" w:cs="Calibri"/>
          <w:sz w:val="24"/>
          <w:szCs w:val="24"/>
        </w:rPr>
      </w:pPr>
      <w:r w:rsidRPr="00176F42">
        <w:rPr>
          <w:rFonts w:asciiTheme="minorHAnsi" w:hAnsiTheme="minorHAnsi" w:cs="Calibri"/>
          <w:sz w:val="24"/>
          <w:szCs w:val="24"/>
        </w:rPr>
        <w:t xml:space="preserve">As </w:t>
      </w:r>
      <w:r w:rsidR="005F7875" w:rsidRPr="00176F42">
        <w:rPr>
          <w:rFonts w:asciiTheme="minorHAnsi" w:hAnsiTheme="minorHAnsi" w:cs="Calibri"/>
          <w:sz w:val="24"/>
          <w:szCs w:val="24"/>
        </w:rPr>
        <w:t>the Tenant Engagement Man</w:t>
      </w:r>
      <w:r w:rsidR="00214B9E" w:rsidRPr="00176F42">
        <w:rPr>
          <w:rFonts w:asciiTheme="minorHAnsi" w:hAnsiTheme="minorHAnsi" w:cs="Calibri"/>
          <w:sz w:val="24"/>
          <w:szCs w:val="24"/>
        </w:rPr>
        <w:t>a</w:t>
      </w:r>
      <w:r w:rsidR="005F7875" w:rsidRPr="00176F42">
        <w:rPr>
          <w:rFonts w:asciiTheme="minorHAnsi" w:hAnsiTheme="minorHAnsi" w:cs="Calibri"/>
          <w:sz w:val="24"/>
          <w:szCs w:val="24"/>
        </w:rPr>
        <w:t>ger</w:t>
      </w:r>
      <w:r w:rsidRPr="00176F42">
        <w:rPr>
          <w:rFonts w:asciiTheme="minorHAnsi" w:hAnsiTheme="minorHAnsi" w:cs="Calibri"/>
          <w:sz w:val="24"/>
          <w:szCs w:val="24"/>
        </w:rPr>
        <w:t xml:space="preserve"> for the </w:t>
      </w:r>
      <w:r w:rsidR="005F7875" w:rsidRPr="00176F42">
        <w:rPr>
          <w:rFonts w:asciiTheme="minorHAnsi" w:hAnsiTheme="minorHAnsi" w:cs="Calibri"/>
          <w:sz w:val="24"/>
          <w:szCs w:val="24"/>
        </w:rPr>
        <w:t>organisation,</w:t>
      </w:r>
      <w:r w:rsidRPr="00176F42">
        <w:rPr>
          <w:rFonts w:asciiTheme="minorHAnsi" w:hAnsiTheme="minorHAnsi" w:cs="Calibri"/>
          <w:sz w:val="24"/>
          <w:szCs w:val="24"/>
        </w:rPr>
        <w:t xml:space="preserve"> you will be </w:t>
      </w:r>
      <w:r w:rsidR="00CB1758" w:rsidRPr="00176F42">
        <w:rPr>
          <w:rFonts w:asciiTheme="minorHAnsi" w:hAnsiTheme="minorHAnsi" w:cs="Calibri"/>
          <w:sz w:val="24"/>
          <w:szCs w:val="24"/>
        </w:rPr>
        <w:t>performing</w:t>
      </w:r>
      <w:r w:rsidRPr="00176F42">
        <w:rPr>
          <w:rFonts w:asciiTheme="minorHAnsi" w:hAnsiTheme="minorHAnsi" w:cs="Calibri"/>
          <w:sz w:val="24"/>
          <w:szCs w:val="24"/>
        </w:rPr>
        <w:t xml:space="preserve"> the duties as laid out below. From time to time there may be a requirement to take on relevant tasks and projects additional to the role.</w:t>
      </w:r>
    </w:p>
    <w:p w14:paraId="21776104" w14:textId="77777777" w:rsidR="0051671C" w:rsidRPr="00176F42" w:rsidRDefault="0051671C" w:rsidP="00B84E03">
      <w:pPr>
        <w:pStyle w:val="BodyText"/>
        <w:spacing w:before="60"/>
        <w:ind w:left="0" w:right="117"/>
        <w:jc w:val="both"/>
        <w:rPr>
          <w:rFonts w:asciiTheme="minorHAnsi" w:hAnsiTheme="minorHAnsi" w:cs="Calibri"/>
          <w:sz w:val="8"/>
          <w:szCs w:val="8"/>
        </w:rPr>
      </w:pPr>
    </w:p>
    <w:p w14:paraId="7FD660D9" w14:textId="36377D25" w:rsidR="00B84F9C" w:rsidRPr="00176F42" w:rsidRDefault="00B51A87" w:rsidP="00B84E03">
      <w:pPr>
        <w:pStyle w:val="BodyText"/>
        <w:spacing w:before="12"/>
        <w:ind w:left="0" w:right="116"/>
        <w:jc w:val="both"/>
        <w:rPr>
          <w:rFonts w:asciiTheme="minorHAnsi" w:hAnsiTheme="minorHAnsi" w:cs="Calibri"/>
          <w:sz w:val="24"/>
          <w:szCs w:val="24"/>
        </w:rPr>
      </w:pPr>
      <w:r w:rsidRPr="00176F42">
        <w:rPr>
          <w:rFonts w:asciiTheme="minorHAnsi" w:hAnsiTheme="minorHAnsi" w:cs="Calibri"/>
          <w:sz w:val="24"/>
          <w:szCs w:val="24"/>
        </w:rPr>
        <w:t>The Tenant Engagement Manager</w:t>
      </w:r>
      <w:r w:rsidR="00B201C3" w:rsidRPr="00176F42">
        <w:rPr>
          <w:rFonts w:asciiTheme="minorHAnsi" w:hAnsiTheme="minorHAnsi" w:cs="Calibri"/>
          <w:sz w:val="24"/>
          <w:szCs w:val="24"/>
        </w:rPr>
        <w:t xml:space="preserve"> plays a </w:t>
      </w:r>
      <w:r w:rsidRPr="00176F42">
        <w:rPr>
          <w:rFonts w:asciiTheme="minorHAnsi" w:hAnsiTheme="minorHAnsi" w:cs="Calibri"/>
          <w:sz w:val="24"/>
          <w:szCs w:val="24"/>
        </w:rPr>
        <w:t xml:space="preserve">key role </w:t>
      </w:r>
      <w:r w:rsidR="00B201C3" w:rsidRPr="00176F42">
        <w:rPr>
          <w:rFonts w:asciiTheme="minorHAnsi" w:hAnsiTheme="minorHAnsi" w:cs="Calibri"/>
          <w:sz w:val="24"/>
          <w:szCs w:val="24"/>
        </w:rPr>
        <w:t>in ensuring</w:t>
      </w:r>
      <w:r w:rsidRPr="00176F42">
        <w:rPr>
          <w:rFonts w:asciiTheme="minorHAnsi" w:hAnsiTheme="minorHAnsi" w:cs="Calibri"/>
          <w:sz w:val="24"/>
          <w:szCs w:val="24"/>
        </w:rPr>
        <w:t xml:space="preserve"> iCare Housing</w:t>
      </w:r>
      <w:r w:rsidR="00927294" w:rsidRPr="00176F42">
        <w:rPr>
          <w:rFonts w:asciiTheme="minorHAnsi" w:hAnsiTheme="minorHAnsi" w:cs="Calibri"/>
          <w:sz w:val="24"/>
          <w:szCs w:val="24"/>
        </w:rPr>
        <w:t xml:space="preserve"> meets in regulatory and statutory</w:t>
      </w:r>
      <w:r w:rsidR="008865EB" w:rsidRPr="00176F42">
        <w:rPr>
          <w:rFonts w:asciiTheme="minorHAnsi" w:hAnsiTheme="minorHAnsi" w:cs="Calibri"/>
          <w:sz w:val="24"/>
          <w:szCs w:val="24"/>
        </w:rPr>
        <w:t xml:space="preserve"> obligations as an Approved Housing Body. Effectively </w:t>
      </w:r>
      <w:r w:rsidR="003D3DA9" w:rsidRPr="00176F42">
        <w:rPr>
          <w:rFonts w:asciiTheme="minorHAnsi" w:hAnsiTheme="minorHAnsi" w:cs="Calibri"/>
          <w:sz w:val="24"/>
          <w:szCs w:val="24"/>
        </w:rPr>
        <w:t>supporting the needs of our tenants.</w:t>
      </w:r>
      <w:r w:rsidRPr="00176F42">
        <w:rPr>
          <w:rFonts w:asciiTheme="minorHAnsi" w:hAnsiTheme="minorHAnsi" w:cs="Calibri"/>
          <w:sz w:val="24"/>
          <w:szCs w:val="24"/>
        </w:rPr>
        <w:t xml:space="preserve"> </w:t>
      </w:r>
    </w:p>
    <w:p w14:paraId="055E4300" w14:textId="77777777" w:rsidR="0032774C" w:rsidRPr="00176F42" w:rsidRDefault="0032774C" w:rsidP="008B58F7">
      <w:pPr>
        <w:pStyle w:val="BodyText"/>
        <w:spacing w:before="12" w:line="276" w:lineRule="auto"/>
        <w:ind w:left="0" w:right="116"/>
        <w:jc w:val="both"/>
        <w:rPr>
          <w:rFonts w:asciiTheme="minorHAnsi" w:hAnsiTheme="minorHAnsi" w:cs="Calibri"/>
          <w:sz w:val="24"/>
          <w:szCs w:val="24"/>
        </w:rPr>
      </w:pPr>
    </w:p>
    <w:p w14:paraId="413B04EB" w14:textId="2A09D104" w:rsidR="00DD6665" w:rsidRPr="00176F42" w:rsidRDefault="00DD6665" w:rsidP="00FC3D27">
      <w:pPr>
        <w:pStyle w:val="Heading3"/>
      </w:pPr>
      <w:r w:rsidRPr="00176F42">
        <w:t>Main Duties</w:t>
      </w:r>
    </w:p>
    <w:p w14:paraId="10387853" w14:textId="77777777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" w:after="0" w:line="276" w:lineRule="auto"/>
        <w:ind w:right="114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Managing the letting and allocations of properties per iCare’s Lettings Policy, including ensuring compliance with all regulations.</w:t>
      </w:r>
    </w:p>
    <w:p w14:paraId="2688DD15" w14:textId="704844B8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 xml:space="preserve">Developing and maintaining effective relationships with the local housing </w:t>
      </w:r>
      <w:r w:rsidR="0008105A" w:rsidRPr="00176F42">
        <w:rPr>
          <w:rFonts w:cs="Calibri"/>
          <w:sz w:val="24"/>
          <w:szCs w:val="24"/>
        </w:rPr>
        <w:t>authorities</w:t>
      </w:r>
      <w:r w:rsidRPr="00176F42">
        <w:rPr>
          <w:rFonts w:cs="Calibri"/>
          <w:sz w:val="24"/>
          <w:szCs w:val="24"/>
        </w:rPr>
        <w:t xml:space="preserve"> and other referral</w:t>
      </w:r>
      <w:r w:rsidR="0008105A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agencies.</w:t>
      </w:r>
    </w:p>
    <w:p w14:paraId="6B9622C7" w14:textId="55341B75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6" w:after="0" w:line="276" w:lineRule="auto"/>
        <w:ind w:right="117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lastRenderedPageBreak/>
        <w:t xml:space="preserve">Interviewing and assessing prospective </w:t>
      </w:r>
      <w:r w:rsidR="00125CCA" w:rsidRPr="00176F42">
        <w:rPr>
          <w:rFonts w:cs="Calibri"/>
          <w:sz w:val="24"/>
          <w:szCs w:val="24"/>
        </w:rPr>
        <w:t>tenan</w:t>
      </w:r>
      <w:r w:rsidRPr="00176F42">
        <w:rPr>
          <w:rFonts w:cs="Calibri"/>
          <w:sz w:val="24"/>
          <w:szCs w:val="24"/>
        </w:rPr>
        <w:t>ts and making allocation decisions with the support of the wider tenant team.</w:t>
      </w:r>
    </w:p>
    <w:p w14:paraId="79C11650" w14:textId="77777777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Co-ordinating the viewings of properties with prospective tenants at hand- over and re-let stage.</w:t>
      </w:r>
    </w:p>
    <w:p w14:paraId="38B3AFE6" w14:textId="6BF8D934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Liaising with support staff in the interviewing and allocation of properties for families and individuals</w:t>
      </w:r>
      <w:r w:rsidR="00125CCA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with additional support needs.</w:t>
      </w:r>
    </w:p>
    <w:p w14:paraId="2A7BE89E" w14:textId="746BBA83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Planning and delivering pre-tenancy programmes.</w:t>
      </w:r>
    </w:p>
    <w:p w14:paraId="64BFEB65" w14:textId="77777777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1"/>
        </w:tabs>
        <w:autoSpaceDE w:val="0"/>
        <w:autoSpaceDN w:val="0"/>
        <w:spacing w:after="0" w:line="276" w:lineRule="auto"/>
        <w:ind w:right="117" w:hanging="360"/>
        <w:contextualSpacing w:val="0"/>
        <w:jc w:val="both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Building positive relationships with our residents, signposting additional community supports for vulnerable tenants, provide advice, information to tenants regarding entitlements and supports available.</w:t>
      </w:r>
    </w:p>
    <w:p w14:paraId="31B66FEA" w14:textId="41298F2D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2" w:after="0" w:line="276" w:lineRule="auto"/>
        <w:ind w:right="121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 xml:space="preserve">Working </w:t>
      </w:r>
      <w:r w:rsidR="00CD4D43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with</w:t>
      </w:r>
      <w:r w:rsidR="00176F4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the </w:t>
      </w:r>
      <w:r w:rsidR="00CD4D43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property</w:t>
      </w:r>
      <w:r w:rsidR="00CD4D43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teams to ensuring </w:t>
      </w:r>
      <w:r w:rsidR="00CD4D43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properties are </w:t>
      </w:r>
      <w:r w:rsidR="00176F42" w:rsidRPr="00176F42">
        <w:rPr>
          <w:rFonts w:cs="Calibri"/>
          <w:sz w:val="24"/>
          <w:szCs w:val="24"/>
        </w:rPr>
        <w:t>re</w:t>
      </w:r>
      <w:r w:rsidRPr="00176F42">
        <w:rPr>
          <w:rFonts w:cs="Calibri"/>
          <w:sz w:val="24"/>
          <w:szCs w:val="24"/>
        </w:rPr>
        <w:t>let within a timely</w:t>
      </w:r>
      <w:r w:rsidR="00176F4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fashion, reducing</w:t>
      </w:r>
      <w:r w:rsidR="00CD4D43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rent loss to</w:t>
      </w:r>
      <w:r w:rsidR="00C23DD8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iCare</w:t>
      </w:r>
      <w:r w:rsidR="00C23DD8" w:rsidRPr="00176F42">
        <w:rPr>
          <w:rFonts w:cs="Calibri"/>
          <w:sz w:val="24"/>
          <w:szCs w:val="24"/>
        </w:rPr>
        <w:t xml:space="preserve"> while properties are void</w:t>
      </w:r>
      <w:r w:rsidRPr="00176F42">
        <w:rPr>
          <w:rFonts w:cs="Calibri"/>
          <w:sz w:val="24"/>
          <w:szCs w:val="24"/>
        </w:rPr>
        <w:t>.</w:t>
      </w:r>
    </w:p>
    <w:p w14:paraId="3EF01EE7" w14:textId="77777777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Advising prospective residents regarding tenancy agreements and responsibilities.</w:t>
      </w:r>
    </w:p>
    <w:p w14:paraId="1CDE54EB" w14:textId="77777777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Respond to issues relating to Anti-Social Behaviour in a timely fashion.</w:t>
      </w:r>
    </w:p>
    <w:p w14:paraId="186C7C69" w14:textId="7B11C193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3" w:after="0" w:line="276" w:lineRule="auto"/>
        <w:ind w:right="115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 xml:space="preserve">Engaging with relevant third parties to ensure issues which may arise with iCares tenants </w:t>
      </w:r>
      <w:r w:rsidR="00985F46" w:rsidRPr="00176F42">
        <w:rPr>
          <w:rFonts w:cs="Calibri"/>
          <w:sz w:val="24"/>
          <w:szCs w:val="24"/>
        </w:rPr>
        <w:t>are responded to in a timely manner.</w:t>
      </w:r>
    </w:p>
    <w:p w14:paraId="14ED9519" w14:textId="77777777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20" w:after="0" w:line="276" w:lineRule="auto"/>
        <w:ind w:right="116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Prepare cases for the Residential Tenancies Board (RTB) from Mediation through to Adjudication (where required).</w:t>
      </w:r>
    </w:p>
    <w:p w14:paraId="7739D65A" w14:textId="4F048E4A" w:rsidR="008B58F7" w:rsidRPr="00176F42" w:rsidRDefault="00DD6665" w:rsidP="001A0372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 xml:space="preserve">Attending 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weekly  in-house 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Rents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&amp;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Arrears</w:t>
      </w:r>
      <w:r w:rsidR="00EB42E2" w:rsidRPr="00176F42">
        <w:rPr>
          <w:rFonts w:cs="Calibri"/>
          <w:sz w:val="24"/>
          <w:szCs w:val="24"/>
        </w:rPr>
        <w:t xml:space="preserve"> </w:t>
      </w:r>
      <w:r w:rsidR="00930298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meetings,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proactively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engaging </w:t>
      </w:r>
      <w:r w:rsidR="00EB42E2" w:rsidRPr="00176F42">
        <w:rPr>
          <w:rFonts w:cs="Calibri"/>
          <w:sz w:val="24"/>
          <w:szCs w:val="24"/>
        </w:rPr>
        <w:t xml:space="preserve">  </w:t>
      </w:r>
      <w:r w:rsidRPr="00176F42">
        <w:rPr>
          <w:rFonts w:cs="Calibri"/>
          <w:sz w:val="24"/>
          <w:szCs w:val="24"/>
        </w:rPr>
        <w:t xml:space="preserve">with </w:t>
      </w:r>
      <w:r w:rsidR="009B60AC" w:rsidRPr="00176F42">
        <w:rPr>
          <w:rFonts w:cs="Calibri"/>
          <w:sz w:val="24"/>
          <w:szCs w:val="24"/>
        </w:rPr>
        <w:t xml:space="preserve"> 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households that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are </w:t>
      </w:r>
      <w:r w:rsidR="00EB42E2" w:rsidRPr="00176F42">
        <w:rPr>
          <w:rFonts w:cs="Calibri"/>
          <w:sz w:val="24"/>
          <w:szCs w:val="24"/>
        </w:rPr>
        <w:t xml:space="preserve">experiencing difficulties </w:t>
      </w:r>
      <w:r w:rsidRPr="00176F42">
        <w:rPr>
          <w:rFonts w:cs="Calibri"/>
          <w:sz w:val="24"/>
          <w:szCs w:val="24"/>
        </w:rPr>
        <w:t>in paying their rent</w:t>
      </w:r>
      <w:r w:rsidR="00EB42E2" w:rsidRPr="00176F42">
        <w:rPr>
          <w:rFonts w:cs="Calibri"/>
          <w:sz w:val="24"/>
          <w:szCs w:val="24"/>
        </w:rPr>
        <w:t>s</w:t>
      </w:r>
      <w:r w:rsidR="009B60AC" w:rsidRPr="00176F42">
        <w:rPr>
          <w:rFonts w:cs="Calibri"/>
          <w:sz w:val="24"/>
          <w:szCs w:val="24"/>
        </w:rPr>
        <w:t xml:space="preserve"> each</w:t>
      </w:r>
      <w:r w:rsidRPr="00176F42">
        <w:rPr>
          <w:rFonts w:cs="Calibri"/>
          <w:sz w:val="24"/>
          <w:szCs w:val="24"/>
        </w:rPr>
        <w:t xml:space="preserve"> </w:t>
      </w:r>
      <w:r w:rsidR="00BB1C0D" w:rsidRPr="00176F42">
        <w:rPr>
          <w:rFonts w:cs="Calibri"/>
          <w:sz w:val="24"/>
          <w:szCs w:val="24"/>
        </w:rPr>
        <w:t>week.</w:t>
      </w:r>
    </w:p>
    <w:p w14:paraId="6C426B7E" w14:textId="77777777" w:rsidR="005F7875" w:rsidRPr="00176F42" w:rsidRDefault="005F7875" w:rsidP="00FC3D27">
      <w:pPr>
        <w:pStyle w:val="Heading3"/>
      </w:pPr>
      <w:r w:rsidRPr="00176F42">
        <w:t>Additional Duties</w:t>
      </w:r>
    </w:p>
    <w:p w14:paraId="4B22A1F5" w14:textId="65A9D4AD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Ensure</w:t>
      </w:r>
      <w:r w:rsidR="009B60AC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iCare’s </w:t>
      </w:r>
      <w:r w:rsidR="005C6655" w:rsidRPr="00176F42">
        <w:rPr>
          <w:rFonts w:cs="Calibri"/>
          <w:sz w:val="24"/>
          <w:szCs w:val="24"/>
        </w:rPr>
        <w:t xml:space="preserve"> </w:t>
      </w:r>
      <w:r w:rsidR="009B60AC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CRM systems are</w:t>
      </w:r>
      <w:r w:rsidR="005F1B8F" w:rsidRPr="00176F42">
        <w:rPr>
          <w:rFonts w:cs="Calibri"/>
          <w:sz w:val="24"/>
          <w:szCs w:val="24"/>
        </w:rPr>
        <w:t xml:space="preserve"> accurately </w:t>
      </w:r>
      <w:r w:rsidRPr="00176F42">
        <w:rPr>
          <w:rFonts w:cs="Calibri"/>
          <w:sz w:val="24"/>
          <w:szCs w:val="24"/>
        </w:rPr>
        <w:t xml:space="preserve"> updated</w:t>
      </w:r>
      <w:r w:rsidR="005F1B8F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and </w:t>
      </w:r>
      <w:r w:rsidR="005F1B8F" w:rsidRPr="00176F42">
        <w:rPr>
          <w:rFonts w:cs="Calibri"/>
          <w:sz w:val="24"/>
          <w:szCs w:val="24"/>
        </w:rPr>
        <w:t xml:space="preserve">  </w:t>
      </w:r>
      <w:r w:rsidRPr="00176F42">
        <w:rPr>
          <w:rFonts w:cs="Calibri"/>
          <w:sz w:val="24"/>
          <w:szCs w:val="24"/>
        </w:rPr>
        <w:t>all</w:t>
      </w:r>
      <w:r w:rsidR="005F1B8F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tenant’s engagements</w:t>
      </w:r>
      <w:r w:rsidR="005F1B8F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are</w:t>
      </w:r>
      <w:r w:rsidR="00BB1C0D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recorded accurately.</w:t>
      </w:r>
    </w:p>
    <w:p w14:paraId="0AABFE1D" w14:textId="5B0495C9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ind w:right="117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 xml:space="preserve">Work with iCare’s maintenance teams regarding access for repairs and servicing where additional support </w:t>
      </w:r>
      <w:r w:rsidR="00BB1C0D" w:rsidRPr="00176F42">
        <w:rPr>
          <w:rFonts w:cs="Calibri"/>
          <w:sz w:val="24"/>
          <w:szCs w:val="24"/>
        </w:rPr>
        <w:t xml:space="preserve">maybe </w:t>
      </w:r>
      <w:r w:rsidRPr="00176F42">
        <w:rPr>
          <w:rFonts w:cs="Calibri"/>
          <w:sz w:val="24"/>
          <w:szCs w:val="24"/>
        </w:rPr>
        <w:t xml:space="preserve"> required.</w:t>
      </w:r>
    </w:p>
    <w:p w14:paraId="5A2A8C0F" w14:textId="56E88952" w:rsidR="008B58F7" w:rsidRPr="00176F42" w:rsidRDefault="005F7875" w:rsidP="001A0372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6" w:after="0" w:line="276" w:lineRule="auto"/>
        <w:ind w:right="118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Carrying regular inspections of properties, and where iCare has management of whole developments ensure communal areas are in good order by means of regular site inspections.</w:t>
      </w:r>
    </w:p>
    <w:p w14:paraId="5389066D" w14:textId="77777777" w:rsidR="005F7875" w:rsidRPr="00176F42" w:rsidRDefault="005F7875" w:rsidP="00FC3D27">
      <w:pPr>
        <w:pStyle w:val="Heading3"/>
      </w:pPr>
      <w:r w:rsidRPr="00176F42">
        <w:t>Essential Criteria</w:t>
      </w:r>
    </w:p>
    <w:p w14:paraId="7E64770A" w14:textId="638B16E1" w:rsidR="00B84E03" w:rsidRDefault="00B84E03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 </w:t>
      </w:r>
      <w:proofErr w:type="spellStart"/>
      <w:r>
        <w:rPr>
          <w:rFonts w:cs="Calibri"/>
          <w:sz w:val="24"/>
          <w:szCs w:val="24"/>
        </w:rPr>
        <w:t>years experience</w:t>
      </w:r>
      <w:proofErr w:type="spellEnd"/>
      <w:r>
        <w:rPr>
          <w:rFonts w:cs="Calibri"/>
          <w:sz w:val="24"/>
          <w:szCs w:val="24"/>
        </w:rPr>
        <w:t xml:space="preserve"> in a similar role.</w:t>
      </w:r>
    </w:p>
    <w:p w14:paraId="4AC8763D" w14:textId="285FCDBC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Knowledge of regulation relating to Approved Housing Bodies (AHBs) and Charities.</w:t>
      </w:r>
    </w:p>
    <w:p w14:paraId="5D22F02A" w14:textId="32523C37" w:rsidR="005555EC" w:rsidRPr="00176F42" w:rsidRDefault="00BE6A34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Strong</w:t>
      </w:r>
      <w:r w:rsidR="005555EC" w:rsidRPr="00176F42">
        <w:rPr>
          <w:rFonts w:cs="Calibri"/>
          <w:sz w:val="24"/>
          <w:szCs w:val="24"/>
        </w:rPr>
        <w:t xml:space="preserve"> </w:t>
      </w:r>
      <w:r w:rsidR="008B3D65" w:rsidRPr="00176F42">
        <w:rPr>
          <w:rFonts w:cs="Calibri"/>
          <w:sz w:val="24"/>
          <w:szCs w:val="24"/>
        </w:rPr>
        <w:t xml:space="preserve">interpersonal and communication skills with </w:t>
      </w:r>
      <w:r w:rsidRPr="00176F42">
        <w:rPr>
          <w:rFonts w:cs="Calibri"/>
          <w:sz w:val="24"/>
          <w:szCs w:val="24"/>
        </w:rPr>
        <w:t>a tenant first mindset.</w:t>
      </w:r>
    </w:p>
    <w:p w14:paraId="076CEF8F" w14:textId="524C70B0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Knowledge and awareness of related</w:t>
      </w:r>
      <w:r w:rsidR="00431651" w:rsidRPr="00176F42">
        <w:rPr>
          <w:rFonts w:cs="Calibri"/>
          <w:sz w:val="24"/>
          <w:szCs w:val="24"/>
        </w:rPr>
        <w:t xml:space="preserve"> to tenancy management, </w:t>
      </w:r>
      <w:r w:rsidRPr="00176F42">
        <w:rPr>
          <w:rFonts w:cs="Calibri"/>
          <w:sz w:val="24"/>
          <w:szCs w:val="24"/>
        </w:rPr>
        <w:t>social care, housing regulations/law.</w:t>
      </w:r>
    </w:p>
    <w:p w14:paraId="792EFBEA" w14:textId="77777777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Use of ﬁnancial management and/or CRM systems.</w:t>
      </w:r>
    </w:p>
    <w:p w14:paraId="1A833E57" w14:textId="4FDD1022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Data analysis/</w:t>
      </w:r>
      <w:r w:rsidR="00A46652" w:rsidRPr="00176F42">
        <w:rPr>
          <w:rFonts w:cs="Calibri"/>
          <w:sz w:val="24"/>
          <w:szCs w:val="24"/>
        </w:rPr>
        <w:t>Problem solving</w:t>
      </w:r>
      <w:r w:rsidRPr="00176F42">
        <w:rPr>
          <w:rFonts w:cs="Calibri"/>
          <w:sz w:val="24"/>
          <w:szCs w:val="24"/>
        </w:rPr>
        <w:t>.</w:t>
      </w:r>
    </w:p>
    <w:p w14:paraId="37FB4CAC" w14:textId="77777777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lastRenderedPageBreak/>
        <w:t>Team working.</w:t>
      </w:r>
    </w:p>
    <w:p w14:paraId="3EB93DBF" w14:textId="77777777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Professionalism.</w:t>
      </w:r>
    </w:p>
    <w:p w14:paraId="6382AB5D" w14:textId="25439F9A" w:rsidR="005F7875" w:rsidRPr="00176F42" w:rsidRDefault="00BB1C0D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Effective communication</w:t>
      </w:r>
      <w:r w:rsidR="005F7875" w:rsidRPr="00176F42">
        <w:rPr>
          <w:rFonts w:cs="Calibri"/>
          <w:sz w:val="24"/>
          <w:szCs w:val="24"/>
        </w:rPr>
        <w:t xml:space="preserve"> skills.</w:t>
      </w:r>
    </w:p>
    <w:p w14:paraId="5B1C78BF" w14:textId="4D5408FE" w:rsidR="001735CD" w:rsidRPr="00176F42" w:rsidRDefault="00DD4744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Full clean driving license.</w:t>
      </w:r>
    </w:p>
    <w:p w14:paraId="26F50CF7" w14:textId="7EF543D8" w:rsidR="005F7875" w:rsidRPr="00176F42" w:rsidRDefault="005F7875" w:rsidP="00FC3D27">
      <w:pPr>
        <w:pStyle w:val="Heading3"/>
      </w:pPr>
      <w:r w:rsidRPr="00176F42">
        <w:t>Desirable Criteria</w:t>
      </w:r>
    </w:p>
    <w:p w14:paraId="21FF3513" w14:textId="5A11E7A6" w:rsidR="005F7875" w:rsidRPr="00176F42" w:rsidRDefault="009B60AC" w:rsidP="0032774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Third</w:t>
      </w:r>
      <w:r w:rsidR="00A46652" w:rsidRPr="00176F42">
        <w:rPr>
          <w:rFonts w:cs="Calibri"/>
          <w:position w:val="8"/>
          <w:sz w:val="24"/>
          <w:szCs w:val="24"/>
        </w:rPr>
        <w:t xml:space="preserve"> </w:t>
      </w:r>
      <w:r w:rsidR="005F7875" w:rsidRPr="00176F42">
        <w:rPr>
          <w:rFonts w:cs="Calibri"/>
          <w:sz w:val="24"/>
          <w:szCs w:val="24"/>
        </w:rPr>
        <w:t xml:space="preserve">level qualification or equivalent in housing, property management, </w:t>
      </w:r>
      <w:r w:rsidR="00335AA6" w:rsidRPr="00176F42">
        <w:rPr>
          <w:rFonts w:cs="Calibri"/>
          <w:sz w:val="24"/>
          <w:szCs w:val="24"/>
        </w:rPr>
        <w:t xml:space="preserve"> </w:t>
      </w:r>
      <w:r w:rsidR="005F7875" w:rsidRPr="00176F42">
        <w:rPr>
          <w:rFonts w:cs="Calibri"/>
          <w:sz w:val="24"/>
          <w:szCs w:val="24"/>
        </w:rPr>
        <w:t xml:space="preserve">social </w:t>
      </w:r>
      <w:r w:rsidR="004140C9" w:rsidRPr="00176F42">
        <w:rPr>
          <w:rFonts w:cs="Calibri"/>
          <w:sz w:val="24"/>
          <w:szCs w:val="24"/>
        </w:rPr>
        <w:t>care,</w:t>
      </w:r>
      <w:r w:rsidR="005F7875" w:rsidRPr="00176F42">
        <w:rPr>
          <w:rFonts w:cs="Calibri"/>
          <w:sz w:val="24"/>
          <w:szCs w:val="24"/>
        </w:rPr>
        <w:t xml:space="preserve"> or other related discipline.</w:t>
      </w:r>
    </w:p>
    <w:p w14:paraId="56A3EF78" w14:textId="3EB142B1" w:rsidR="005F7875" w:rsidRPr="00176F42" w:rsidRDefault="005F7875" w:rsidP="0032774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1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Professional qualification</w:t>
      </w:r>
      <w:r w:rsidR="00275684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(ICSH/CIH)</w:t>
      </w:r>
    </w:p>
    <w:p w14:paraId="3974D4C3" w14:textId="4EEAD14B" w:rsidR="00650969" w:rsidRPr="00650969" w:rsidRDefault="005F7875" w:rsidP="00650969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 xml:space="preserve">Experience of </w:t>
      </w:r>
      <w:r w:rsidR="004140C9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working </w:t>
      </w:r>
      <w:r w:rsidR="004140C9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within a social housing, property</w:t>
      </w:r>
      <w:r w:rsidR="00AD6692" w:rsidRPr="00176F42">
        <w:rPr>
          <w:rFonts w:cs="Calibri"/>
          <w:sz w:val="24"/>
          <w:szCs w:val="24"/>
        </w:rPr>
        <w:t xml:space="preserve"> field</w:t>
      </w:r>
      <w:r w:rsidRPr="00176F42">
        <w:rPr>
          <w:rFonts w:cs="Calibri"/>
          <w:sz w:val="24"/>
          <w:szCs w:val="24"/>
        </w:rPr>
        <w:t>.</w:t>
      </w:r>
    </w:p>
    <w:p w14:paraId="382EFB80" w14:textId="19DD904B" w:rsidR="009519BB" w:rsidRPr="00650969" w:rsidRDefault="009519BB" w:rsidP="00650969">
      <w:pPr>
        <w:pStyle w:val="Heading3"/>
        <w:rPr>
          <w:rFonts w:cs="Calibri"/>
          <w:sz w:val="24"/>
          <w:szCs w:val="24"/>
        </w:rPr>
      </w:pPr>
      <w:r w:rsidRPr="00176F42">
        <w:t>Competencies Required</w:t>
      </w:r>
    </w:p>
    <w:p w14:paraId="550290E2" w14:textId="724871DB" w:rsidR="009519BB" w:rsidRPr="00650969" w:rsidRDefault="009519BB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Teamwork</w:t>
      </w:r>
    </w:p>
    <w:p w14:paraId="28FE784F" w14:textId="590FEC58" w:rsidR="005C4412" w:rsidRPr="00650969" w:rsidRDefault="005C4412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Customer focus</w:t>
      </w:r>
    </w:p>
    <w:p w14:paraId="147F7EB1" w14:textId="4A148CA1" w:rsidR="005C4412" w:rsidRPr="00650969" w:rsidRDefault="005C4412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People skills</w:t>
      </w:r>
    </w:p>
    <w:p w14:paraId="4144221B" w14:textId="3B702112" w:rsidR="005C4412" w:rsidRPr="00650969" w:rsidRDefault="00650969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Initiative-taker</w:t>
      </w:r>
    </w:p>
    <w:p w14:paraId="576B3A6A" w14:textId="3EF855EA" w:rsidR="005C4412" w:rsidRPr="00650969" w:rsidRDefault="005C4412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Planning &amp; Organisatio</w:t>
      </w:r>
      <w:r w:rsidR="00597517" w:rsidRPr="00650969">
        <w:rPr>
          <w:sz w:val="24"/>
          <w:szCs w:val="24"/>
        </w:rPr>
        <w:t>n</w:t>
      </w:r>
    </w:p>
    <w:p w14:paraId="4AED76ED" w14:textId="317F597D" w:rsidR="00597517" w:rsidRPr="00650969" w:rsidRDefault="00597517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Problem Solving</w:t>
      </w:r>
    </w:p>
    <w:p w14:paraId="0BFD145C" w14:textId="01950F28" w:rsidR="00597517" w:rsidRPr="00650969" w:rsidRDefault="00597517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Time Management</w:t>
      </w:r>
    </w:p>
    <w:p w14:paraId="241D5BC3" w14:textId="4F94DC94" w:rsidR="005F7875" w:rsidRPr="00176F42" w:rsidRDefault="005F7875" w:rsidP="00FC3D27">
      <w:pPr>
        <w:pStyle w:val="Heading3"/>
        <w:rPr>
          <w:sz w:val="32"/>
        </w:rPr>
      </w:pPr>
      <w:r w:rsidRPr="00176F42">
        <w:t>iCare Employee Benefits</w:t>
      </w:r>
    </w:p>
    <w:p w14:paraId="15561BB0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1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Competitive Salary</w:t>
      </w:r>
    </w:p>
    <w:p w14:paraId="2370EC3B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Generous Annual Leave Entitlement</w:t>
      </w:r>
    </w:p>
    <w:p w14:paraId="3E235D3D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Paid Expenses</w:t>
      </w:r>
    </w:p>
    <w:p w14:paraId="6DBCC3C6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Supports for Employee Learning and Development</w:t>
      </w:r>
    </w:p>
    <w:p w14:paraId="7DAF823B" w14:textId="5E34B4E9" w:rsidR="005F7875" w:rsidRPr="00176F42" w:rsidRDefault="001776C7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Employee</w:t>
      </w:r>
      <w:r w:rsidR="000965D8" w:rsidRPr="00176F42">
        <w:rPr>
          <w:rFonts w:cs="Calibri"/>
          <w:sz w:val="24"/>
          <w:szCs w:val="24"/>
        </w:rPr>
        <w:t xml:space="preserve"> Assistance </w:t>
      </w:r>
      <w:r w:rsidR="005F7875" w:rsidRPr="00176F42">
        <w:rPr>
          <w:rFonts w:cs="Calibri"/>
          <w:sz w:val="24"/>
          <w:szCs w:val="24"/>
        </w:rPr>
        <w:t>Programme</w:t>
      </w:r>
      <w:r w:rsidR="000965D8" w:rsidRPr="00176F42">
        <w:rPr>
          <w:rFonts w:cs="Calibri"/>
          <w:sz w:val="24"/>
          <w:szCs w:val="24"/>
        </w:rPr>
        <w:t xml:space="preserve"> (EAP)</w:t>
      </w:r>
      <w:r w:rsidR="005F7875" w:rsidRPr="00176F42">
        <w:rPr>
          <w:rFonts w:cs="Calibri"/>
          <w:sz w:val="24"/>
          <w:szCs w:val="24"/>
        </w:rPr>
        <w:t xml:space="preserve"> and   Wellbeing </w:t>
      </w:r>
      <w:r w:rsidR="00411576" w:rsidRPr="00176F42">
        <w:rPr>
          <w:rFonts w:cs="Calibri"/>
          <w:sz w:val="24"/>
          <w:szCs w:val="24"/>
        </w:rPr>
        <w:t>S</w:t>
      </w:r>
      <w:r w:rsidR="000965D8" w:rsidRPr="00176F42">
        <w:rPr>
          <w:rFonts w:cs="Calibri"/>
          <w:sz w:val="24"/>
          <w:szCs w:val="24"/>
        </w:rPr>
        <w:t>upport</w:t>
      </w:r>
      <w:r w:rsidR="00411576" w:rsidRPr="00176F42">
        <w:rPr>
          <w:rFonts w:cs="Calibri"/>
          <w:sz w:val="24"/>
          <w:szCs w:val="24"/>
        </w:rPr>
        <w:t>’s</w:t>
      </w:r>
    </w:p>
    <w:p w14:paraId="512402A6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Income Protection</w:t>
      </w:r>
    </w:p>
    <w:p w14:paraId="6D8685D3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Death in Service (4 times salary)</w:t>
      </w:r>
    </w:p>
    <w:p w14:paraId="5CC8E297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1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Bike to Work Scheme</w:t>
      </w:r>
    </w:p>
    <w:p w14:paraId="21A9AD46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Tax Saver Scheme</w:t>
      </w:r>
    </w:p>
    <w:p w14:paraId="4DC60D53" w14:textId="0B5DDCB8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Tenant Engagement Team have a designated work vehicle.</w:t>
      </w:r>
    </w:p>
    <w:p w14:paraId="056917EC" w14:textId="77777777" w:rsidR="005F7875" w:rsidRPr="00B223C6" w:rsidRDefault="005F7875" w:rsidP="005F7875">
      <w:pPr>
        <w:pStyle w:val="BodyText"/>
        <w:spacing w:before="6"/>
        <w:ind w:left="0"/>
        <w:rPr>
          <w:rFonts w:asciiTheme="minorHAnsi" w:hAnsiTheme="minorHAnsi" w:cs="Calibri"/>
          <w:sz w:val="23"/>
        </w:rPr>
      </w:pPr>
    </w:p>
    <w:p w14:paraId="2BC762C5" w14:textId="77777777" w:rsidR="005F7875" w:rsidRDefault="005F7875" w:rsidP="00FC3D27">
      <w:pPr>
        <w:pStyle w:val="Heading3"/>
        <w:jc w:val="center"/>
      </w:pPr>
      <w:r w:rsidRPr="00B223C6">
        <w:t>To Apply</w:t>
      </w:r>
    </w:p>
    <w:p w14:paraId="50DEC845" w14:textId="6EAE76DB" w:rsidR="00DD6665" w:rsidRPr="0032774C" w:rsidRDefault="00FC3D27" w:rsidP="0032774C">
      <w:pPr>
        <w:jc w:val="center"/>
      </w:pPr>
      <w:r>
        <w:t>Plea</w:t>
      </w:r>
      <w:r w:rsidR="004C4B00">
        <w:t xml:space="preserve">se email a cover letter and CV to </w:t>
      </w:r>
      <w:hyperlink r:id="rId11" w:history="1">
        <w:r w:rsidR="004C4B00" w:rsidRPr="00C176B0">
          <w:rPr>
            <w:rStyle w:val="Hyperlink"/>
          </w:rPr>
          <w:t>info@icarehousing.ie</w:t>
        </w:r>
      </w:hyperlink>
      <w:r w:rsidR="004C4B00">
        <w:t xml:space="preserve"> by </w:t>
      </w:r>
      <w:r w:rsidR="00B84E03">
        <w:t>Friday</w:t>
      </w:r>
      <w:r w:rsidR="004C4B00">
        <w:t xml:space="preserve"> </w:t>
      </w:r>
      <w:r w:rsidR="003A792B">
        <w:t>22</w:t>
      </w:r>
      <w:r w:rsidR="003A792B" w:rsidRPr="003A792B">
        <w:rPr>
          <w:vertAlign w:val="superscript"/>
        </w:rPr>
        <w:t>nd</w:t>
      </w:r>
      <w:r w:rsidR="003A792B">
        <w:t xml:space="preserve"> May 2026</w:t>
      </w:r>
    </w:p>
    <w:sectPr w:rsidR="00DD6665" w:rsidRPr="0032774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EE972" w14:textId="77777777" w:rsidR="0072517A" w:rsidRDefault="0072517A" w:rsidP="00DD6665">
      <w:pPr>
        <w:spacing w:after="0" w:line="240" w:lineRule="auto"/>
      </w:pPr>
      <w:r>
        <w:separator/>
      </w:r>
    </w:p>
  </w:endnote>
  <w:endnote w:type="continuationSeparator" w:id="0">
    <w:p w14:paraId="5F0C08BC" w14:textId="77777777" w:rsidR="0072517A" w:rsidRDefault="0072517A" w:rsidP="00DD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6502" w14:textId="77777777" w:rsidR="00CE3A79" w:rsidRDefault="00000000">
    <w:pPr>
      <w:pStyle w:val="BodyText"/>
      <w:spacing w:before="0" w:line="14" w:lineRule="auto"/>
      <w:ind w:left="0"/>
      <w:rPr>
        <w:sz w:val="20"/>
      </w:rPr>
    </w:pPr>
    <w:r>
      <w:pict w14:anchorId="150833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0.1pt;margin-top:751.7pt;width:375.1pt;height:42.4pt;z-index:-251658752;mso-position-horizontal-relative:page;mso-position-vertical-relative:page" filled="f" stroked="f">
          <v:textbox style="mso-next-textbox:#_x0000_s1025" inset="0,0,0,0">
            <w:txbxContent>
              <w:p w14:paraId="394C261B" w14:textId="66758D54" w:rsidR="00CE3A79" w:rsidRDefault="00CE3A79">
                <w:pPr>
                  <w:spacing w:before="17"/>
                  <w:ind w:left="17" w:right="17"/>
                  <w:jc w:val="center"/>
                  <w:rPr>
                    <w:rFonts w:ascii="Trebuchet MS"/>
                    <w:i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7121" w14:textId="77777777" w:rsidR="0072517A" w:rsidRDefault="0072517A" w:rsidP="00DD6665">
      <w:pPr>
        <w:spacing w:after="0" w:line="240" w:lineRule="auto"/>
      </w:pPr>
      <w:r>
        <w:separator/>
      </w:r>
    </w:p>
  </w:footnote>
  <w:footnote w:type="continuationSeparator" w:id="0">
    <w:p w14:paraId="0D27CC8D" w14:textId="77777777" w:rsidR="0072517A" w:rsidRDefault="0072517A" w:rsidP="00DD6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49B3"/>
    <w:multiLevelType w:val="hybridMultilevel"/>
    <w:tmpl w:val="4A1EC7A8"/>
    <w:lvl w:ilvl="0" w:tplc="2D56C8D6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w w:val="100"/>
        <w:sz w:val="22"/>
        <w:szCs w:val="22"/>
        <w:lang w:val="en-IE" w:eastAsia="en-IE" w:bidi="en-IE"/>
      </w:rPr>
    </w:lvl>
    <w:lvl w:ilvl="1" w:tplc="3D6E27A6">
      <w:numFmt w:val="bullet"/>
      <w:lvlText w:val="•"/>
      <w:lvlJc w:val="left"/>
      <w:pPr>
        <w:ind w:left="2130" w:hanging="361"/>
      </w:pPr>
      <w:rPr>
        <w:rFonts w:hint="default"/>
        <w:lang w:val="en-IE" w:eastAsia="en-IE" w:bidi="en-IE"/>
      </w:rPr>
    </w:lvl>
    <w:lvl w:ilvl="2" w:tplc="7D489FA2">
      <w:numFmt w:val="bullet"/>
      <w:lvlText w:val="•"/>
      <w:lvlJc w:val="left"/>
      <w:pPr>
        <w:ind w:left="3081" w:hanging="361"/>
      </w:pPr>
      <w:rPr>
        <w:rFonts w:hint="default"/>
        <w:lang w:val="en-IE" w:eastAsia="en-IE" w:bidi="en-IE"/>
      </w:rPr>
    </w:lvl>
    <w:lvl w:ilvl="3" w:tplc="820A554A">
      <w:numFmt w:val="bullet"/>
      <w:lvlText w:val="•"/>
      <w:lvlJc w:val="left"/>
      <w:pPr>
        <w:ind w:left="4031" w:hanging="361"/>
      </w:pPr>
      <w:rPr>
        <w:rFonts w:hint="default"/>
        <w:lang w:val="en-IE" w:eastAsia="en-IE" w:bidi="en-IE"/>
      </w:rPr>
    </w:lvl>
    <w:lvl w:ilvl="4" w:tplc="4B706CC0">
      <w:numFmt w:val="bullet"/>
      <w:lvlText w:val="•"/>
      <w:lvlJc w:val="left"/>
      <w:pPr>
        <w:ind w:left="4982" w:hanging="361"/>
      </w:pPr>
      <w:rPr>
        <w:rFonts w:hint="default"/>
        <w:lang w:val="en-IE" w:eastAsia="en-IE" w:bidi="en-IE"/>
      </w:rPr>
    </w:lvl>
    <w:lvl w:ilvl="5" w:tplc="625AB25A">
      <w:numFmt w:val="bullet"/>
      <w:lvlText w:val="•"/>
      <w:lvlJc w:val="left"/>
      <w:pPr>
        <w:ind w:left="5933" w:hanging="361"/>
      </w:pPr>
      <w:rPr>
        <w:rFonts w:hint="default"/>
        <w:lang w:val="en-IE" w:eastAsia="en-IE" w:bidi="en-IE"/>
      </w:rPr>
    </w:lvl>
    <w:lvl w:ilvl="6" w:tplc="DC6EE360">
      <w:numFmt w:val="bullet"/>
      <w:lvlText w:val="•"/>
      <w:lvlJc w:val="left"/>
      <w:pPr>
        <w:ind w:left="6883" w:hanging="361"/>
      </w:pPr>
      <w:rPr>
        <w:rFonts w:hint="default"/>
        <w:lang w:val="en-IE" w:eastAsia="en-IE" w:bidi="en-IE"/>
      </w:rPr>
    </w:lvl>
    <w:lvl w:ilvl="7" w:tplc="5A3E8234">
      <w:numFmt w:val="bullet"/>
      <w:lvlText w:val="•"/>
      <w:lvlJc w:val="left"/>
      <w:pPr>
        <w:ind w:left="7834" w:hanging="361"/>
      </w:pPr>
      <w:rPr>
        <w:rFonts w:hint="default"/>
        <w:lang w:val="en-IE" w:eastAsia="en-IE" w:bidi="en-IE"/>
      </w:rPr>
    </w:lvl>
    <w:lvl w:ilvl="8" w:tplc="623AE070">
      <w:numFmt w:val="bullet"/>
      <w:lvlText w:val="•"/>
      <w:lvlJc w:val="left"/>
      <w:pPr>
        <w:ind w:left="8785" w:hanging="361"/>
      </w:pPr>
      <w:rPr>
        <w:rFonts w:hint="default"/>
        <w:lang w:val="en-IE" w:eastAsia="en-IE" w:bidi="en-IE"/>
      </w:rPr>
    </w:lvl>
  </w:abstractNum>
  <w:abstractNum w:abstractNumId="1" w15:restartNumberingAfterBreak="0">
    <w:nsid w:val="33796A15"/>
    <w:multiLevelType w:val="hybridMultilevel"/>
    <w:tmpl w:val="EA0696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04138"/>
    <w:multiLevelType w:val="hybridMultilevel"/>
    <w:tmpl w:val="8F563A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26C8E"/>
    <w:multiLevelType w:val="hybridMultilevel"/>
    <w:tmpl w:val="BB2E6D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B78DC"/>
    <w:multiLevelType w:val="hybridMultilevel"/>
    <w:tmpl w:val="EAC647CE"/>
    <w:lvl w:ilvl="0" w:tplc="08CCD728">
      <w:numFmt w:val="bullet"/>
      <w:lvlText w:val="-"/>
      <w:lvlJc w:val="left"/>
      <w:pPr>
        <w:ind w:left="819" w:hanging="360"/>
      </w:pPr>
      <w:rPr>
        <w:rFonts w:ascii="Tahoma" w:eastAsia="Tahoma" w:hAnsi="Tahoma" w:cs="Tahoma" w:hint="default"/>
        <w:w w:val="94"/>
        <w:sz w:val="22"/>
        <w:szCs w:val="22"/>
        <w:lang w:val="en-IE" w:eastAsia="en-IE" w:bidi="en-IE"/>
      </w:rPr>
    </w:lvl>
    <w:lvl w:ilvl="1" w:tplc="D8467E2E">
      <w:numFmt w:val="bullet"/>
      <w:lvlText w:val="•"/>
      <w:lvlJc w:val="left"/>
      <w:pPr>
        <w:ind w:left="1806" w:hanging="360"/>
      </w:pPr>
      <w:rPr>
        <w:rFonts w:hint="default"/>
        <w:lang w:val="en-IE" w:eastAsia="en-IE" w:bidi="en-IE"/>
      </w:rPr>
    </w:lvl>
    <w:lvl w:ilvl="2" w:tplc="21B23414">
      <w:numFmt w:val="bullet"/>
      <w:lvlText w:val="•"/>
      <w:lvlJc w:val="left"/>
      <w:pPr>
        <w:ind w:left="2793" w:hanging="360"/>
      </w:pPr>
      <w:rPr>
        <w:rFonts w:hint="default"/>
        <w:lang w:val="en-IE" w:eastAsia="en-IE" w:bidi="en-IE"/>
      </w:rPr>
    </w:lvl>
    <w:lvl w:ilvl="3" w:tplc="6BD68238">
      <w:numFmt w:val="bullet"/>
      <w:lvlText w:val="•"/>
      <w:lvlJc w:val="left"/>
      <w:pPr>
        <w:ind w:left="3779" w:hanging="360"/>
      </w:pPr>
      <w:rPr>
        <w:rFonts w:hint="default"/>
        <w:lang w:val="en-IE" w:eastAsia="en-IE" w:bidi="en-IE"/>
      </w:rPr>
    </w:lvl>
    <w:lvl w:ilvl="4" w:tplc="43BC0596">
      <w:numFmt w:val="bullet"/>
      <w:lvlText w:val="•"/>
      <w:lvlJc w:val="left"/>
      <w:pPr>
        <w:ind w:left="4766" w:hanging="360"/>
      </w:pPr>
      <w:rPr>
        <w:rFonts w:hint="default"/>
        <w:lang w:val="en-IE" w:eastAsia="en-IE" w:bidi="en-IE"/>
      </w:rPr>
    </w:lvl>
    <w:lvl w:ilvl="5" w:tplc="9C1C5FD6">
      <w:numFmt w:val="bullet"/>
      <w:lvlText w:val="•"/>
      <w:lvlJc w:val="left"/>
      <w:pPr>
        <w:ind w:left="5753" w:hanging="360"/>
      </w:pPr>
      <w:rPr>
        <w:rFonts w:hint="default"/>
        <w:lang w:val="en-IE" w:eastAsia="en-IE" w:bidi="en-IE"/>
      </w:rPr>
    </w:lvl>
    <w:lvl w:ilvl="6" w:tplc="0EBA7662">
      <w:numFmt w:val="bullet"/>
      <w:lvlText w:val="•"/>
      <w:lvlJc w:val="left"/>
      <w:pPr>
        <w:ind w:left="6739" w:hanging="360"/>
      </w:pPr>
      <w:rPr>
        <w:rFonts w:hint="default"/>
        <w:lang w:val="en-IE" w:eastAsia="en-IE" w:bidi="en-IE"/>
      </w:rPr>
    </w:lvl>
    <w:lvl w:ilvl="7" w:tplc="1AB02B8C">
      <w:numFmt w:val="bullet"/>
      <w:lvlText w:val="•"/>
      <w:lvlJc w:val="left"/>
      <w:pPr>
        <w:ind w:left="7726" w:hanging="360"/>
      </w:pPr>
      <w:rPr>
        <w:rFonts w:hint="default"/>
        <w:lang w:val="en-IE" w:eastAsia="en-IE" w:bidi="en-IE"/>
      </w:rPr>
    </w:lvl>
    <w:lvl w:ilvl="8" w:tplc="0636C7F2">
      <w:numFmt w:val="bullet"/>
      <w:lvlText w:val="•"/>
      <w:lvlJc w:val="left"/>
      <w:pPr>
        <w:ind w:left="8713" w:hanging="360"/>
      </w:pPr>
      <w:rPr>
        <w:rFonts w:hint="default"/>
        <w:lang w:val="en-IE" w:eastAsia="en-IE" w:bidi="en-IE"/>
      </w:rPr>
    </w:lvl>
  </w:abstractNum>
  <w:abstractNum w:abstractNumId="5" w15:restartNumberingAfterBreak="0">
    <w:nsid w:val="6C5E1DDC"/>
    <w:multiLevelType w:val="hybridMultilevel"/>
    <w:tmpl w:val="7BCE195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0360517">
    <w:abstractNumId w:val="4"/>
  </w:num>
  <w:num w:numId="2" w16cid:durableId="1883520049">
    <w:abstractNumId w:val="0"/>
  </w:num>
  <w:num w:numId="3" w16cid:durableId="12414868">
    <w:abstractNumId w:val="3"/>
  </w:num>
  <w:num w:numId="4" w16cid:durableId="84965548">
    <w:abstractNumId w:val="1"/>
  </w:num>
  <w:num w:numId="5" w16cid:durableId="1055198060">
    <w:abstractNumId w:val="5"/>
  </w:num>
  <w:num w:numId="6" w16cid:durableId="1882739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65"/>
    <w:rsid w:val="0008105A"/>
    <w:rsid w:val="000965D8"/>
    <w:rsid w:val="000E239F"/>
    <w:rsid w:val="00114DCF"/>
    <w:rsid w:val="00125CCA"/>
    <w:rsid w:val="001735CD"/>
    <w:rsid w:val="00176F42"/>
    <w:rsid w:val="001776C7"/>
    <w:rsid w:val="001879A8"/>
    <w:rsid w:val="001A0372"/>
    <w:rsid w:val="001D02A1"/>
    <w:rsid w:val="00214B9E"/>
    <w:rsid w:val="00243049"/>
    <w:rsid w:val="00246278"/>
    <w:rsid w:val="0025508A"/>
    <w:rsid w:val="00275684"/>
    <w:rsid w:val="002D5817"/>
    <w:rsid w:val="0032774C"/>
    <w:rsid w:val="00335AA6"/>
    <w:rsid w:val="00354475"/>
    <w:rsid w:val="003841EA"/>
    <w:rsid w:val="003A792B"/>
    <w:rsid w:val="003B36BC"/>
    <w:rsid w:val="003D3DA9"/>
    <w:rsid w:val="003E33C7"/>
    <w:rsid w:val="0040028F"/>
    <w:rsid w:val="00411576"/>
    <w:rsid w:val="004140C9"/>
    <w:rsid w:val="00431651"/>
    <w:rsid w:val="004619E2"/>
    <w:rsid w:val="004C4B00"/>
    <w:rsid w:val="004E69E9"/>
    <w:rsid w:val="0051671C"/>
    <w:rsid w:val="00524862"/>
    <w:rsid w:val="005555EC"/>
    <w:rsid w:val="00597517"/>
    <w:rsid w:val="005C4412"/>
    <w:rsid w:val="005C6655"/>
    <w:rsid w:val="005F1B8F"/>
    <w:rsid w:val="005F7875"/>
    <w:rsid w:val="00620E94"/>
    <w:rsid w:val="00650969"/>
    <w:rsid w:val="006E2C0E"/>
    <w:rsid w:val="0072517A"/>
    <w:rsid w:val="00730061"/>
    <w:rsid w:val="007D530E"/>
    <w:rsid w:val="008865EB"/>
    <w:rsid w:val="00895ABF"/>
    <w:rsid w:val="008B3D65"/>
    <w:rsid w:val="008B58F7"/>
    <w:rsid w:val="00904F50"/>
    <w:rsid w:val="00927294"/>
    <w:rsid w:val="00930298"/>
    <w:rsid w:val="009519BB"/>
    <w:rsid w:val="00953D32"/>
    <w:rsid w:val="0097546F"/>
    <w:rsid w:val="00985F46"/>
    <w:rsid w:val="009B60AC"/>
    <w:rsid w:val="009C7E05"/>
    <w:rsid w:val="00A0424C"/>
    <w:rsid w:val="00A46652"/>
    <w:rsid w:val="00A525F2"/>
    <w:rsid w:val="00A54F1E"/>
    <w:rsid w:val="00A616CF"/>
    <w:rsid w:val="00AB1915"/>
    <w:rsid w:val="00AD0931"/>
    <w:rsid w:val="00AD6692"/>
    <w:rsid w:val="00B05584"/>
    <w:rsid w:val="00B201C3"/>
    <w:rsid w:val="00B223C6"/>
    <w:rsid w:val="00B22CB3"/>
    <w:rsid w:val="00B34E53"/>
    <w:rsid w:val="00B51A87"/>
    <w:rsid w:val="00B84E03"/>
    <w:rsid w:val="00B84F9C"/>
    <w:rsid w:val="00BA511D"/>
    <w:rsid w:val="00BB1C0D"/>
    <w:rsid w:val="00BE0322"/>
    <w:rsid w:val="00BE6A34"/>
    <w:rsid w:val="00BF196D"/>
    <w:rsid w:val="00C059B7"/>
    <w:rsid w:val="00C23DD8"/>
    <w:rsid w:val="00C3367E"/>
    <w:rsid w:val="00CB1758"/>
    <w:rsid w:val="00CD4D43"/>
    <w:rsid w:val="00CD5C36"/>
    <w:rsid w:val="00CE3A79"/>
    <w:rsid w:val="00D337D6"/>
    <w:rsid w:val="00D706E3"/>
    <w:rsid w:val="00DB4707"/>
    <w:rsid w:val="00DD4744"/>
    <w:rsid w:val="00DD6665"/>
    <w:rsid w:val="00E53A8C"/>
    <w:rsid w:val="00E5673E"/>
    <w:rsid w:val="00E7466B"/>
    <w:rsid w:val="00E867A1"/>
    <w:rsid w:val="00EB42E2"/>
    <w:rsid w:val="00EC7A27"/>
    <w:rsid w:val="00EE41F5"/>
    <w:rsid w:val="00F331CF"/>
    <w:rsid w:val="00F5231C"/>
    <w:rsid w:val="00FA3024"/>
    <w:rsid w:val="00FB32AE"/>
    <w:rsid w:val="00FC3D27"/>
    <w:rsid w:val="00FD23E6"/>
    <w:rsid w:val="00FE65A9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E6A0E"/>
  <w15:chartTrackingRefBased/>
  <w15:docId w15:val="{565BD056-6DB3-4CAE-8BE8-CFF55129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D6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66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D6665"/>
    <w:pPr>
      <w:widowControl w:val="0"/>
      <w:autoSpaceDE w:val="0"/>
      <w:autoSpaceDN w:val="0"/>
      <w:spacing w:before="3" w:after="0" w:line="240" w:lineRule="auto"/>
      <w:ind w:left="1180"/>
    </w:pPr>
    <w:rPr>
      <w:rFonts w:ascii="Tahoma" w:eastAsia="Tahoma" w:hAnsi="Tahoma" w:cs="Tahoma"/>
      <w:kern w:val="0"/>
      <w:lang w:eastAsia="en-IE" w:bidi="en-I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D6665"/>
    <w:rPr>
      <w:rFonts w:ascii="Tahoma" w:eastAsia="Tahoma" w:hAnsi="Tahoma" w:cs="Tahoma"/>
      <w:kern w:val="0"/>
      <w:lang w:eastAsia="en-IE" w:bidi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6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65"/>
  </w:style>
  <w:style w:type="paragraph" w:styleId="Footer">
    <w:name w:val="footer"/>
    <w:basedOn w:val="Normal"/>
    <w:link w:val="FooterChar"/>
    <w:uiPriority w:val="99"/>
    <w:unhideWhenUsed/>
    <w:rsid w:val="00DD6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65"/>
  </w:style>
  <w:style w:type="paragraph" w:styleId="NormalWeb">
    <w:name w:val="Normal (Web)"/>
    <w:basedOn w:val="Normal"/>
    <w:uiPriority w:val="99"/>
    <w:unhideWhenUsed/>
    <w:rsid w:val="00D3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Hyperlink">
    <w:name w:val="Hyperlink"/>
    <w:basedOn w:val="DefaultParagraphFont"/>
    <w:uiPriority w:val="99"/>
    <w:unhideWhenUsed/>
    <w:rsid w:val="004C4B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icarehousing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9B52353F3EB4BB1F05C4AC7382A18" ma:contentTypeVersion="13" ma:contentTypeDescription="Create a new document." ma:contentTypeScope="" ma:versionID="0f3a18e4fcffb9409ce4c8f3dd67d026">
  <xsd:schema xmlns:xsd="http://www.w3.org/2001/XMLSchema" xmlns:xs="http://www.w3.org/2001/XMLSchema" xmlns:p="http://schemas.microsoft.com/office/2006/metadata/properties" xmlns:ns2="ef8b623f-1e58-43d4-8faf-25f133acd54b" xmlns:ns3="9d046fb6-52e2-4df8-be6a-8a9c4b0e9857" targetNamespace="http://schemas.microsoft.com/office/2006/metadata/properties" ma:root="true" ma:fieldsID="e4f092b0220af022facf89b2b5acaa98" ns2:_="" ns3:_="">
    <xsd:import namespace="ef8b623f-1e58-43d4-8faf-25f133acd54b"/>
    <xsd:import namespace="9d046fb6-52e2-4df8-be6a-8a9c4b0e9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b623f-1e58-43d4-8faf-25f133ac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17213e-0d85-4e54-bb30-b8c5464e7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46fb6-52e2-4df8-be6a-8a9c4b0e98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e92d8-8988-4599-923f-ccbc869e19b1}" ma:internalName="TaxCatchAll" ma:showField="CatchAllData" ma:web="9d046fb6-52e2-4df8-be6a-8a9c4b0e9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46fb6-52e2-4df8-be6a-8a9c4b0e9857" xsi:nil="true"/>
    <lcf76f155ced4ddcb4097134ff3c332f xmlns="ef8b623f-1e58-43d4-8faf-25f133acd5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2AFE61-8073-414F-8BEB-F9D08C263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b623f-1e58-43d4-8faf-25f133acd54b"/>
    <ds:schemaRef ds:uri="9d046fb6-52e2-4df8-be6a-8a9c4b0e9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BCA6E-B237-4EA4-B342-155504B3A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52A88-793D-4345-B959-FA6F967076F4}">
  <ds:schemaRefs>
    <ds:schemaRef ds:uri="http://schemas.microsoft.com/office/2006/metadata/properties"/>
    <ds:schemaRef ds:uri="http://schemas.microsoft.com/office/infopath/2007/PartnerControls"/>
    <ds:schemaRef ds:uri="9d046fb6-52e2-4df8-be6a-8a9c4b0e9857"/>
    <ds:schemaRef ds:uri="ef8b623f-1e58-43d4-8faf-25f133acd5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Doherty</dc:creator>
  <cp:keywords/>
  <dc:description/>
  <cp:lastModifiedBy>Francis Doherty</cp:lastModifiedBy>
  <cp:revision>2</cp:revision>
  <cp:lastPrinted>2026-04-17T08:37:00Z</cp:lastPrinted>
  <dcterms:created xsi:type="dcterms:W3CDTF">2026-05-12T12:55:00Z</dcterms:created>
  <dcterms:modified xsi:type="dcterms:W3CDTF">2026-05-12T12:55:00Z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0x01010080C9B52353F3EB4BB1F05C4AC7382A18</vt:lpwstr>
  </property>
  <property fmtid="{D5CDD505-2E9C-101B-9397-08002B2CF9AE}" pid="3" name="MediaServiceImageTags">
    <vt:lpwstr/>
  </property>
</Properties>
</file>